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5" w:rsidRDefault="00207A25" w:rsidP="0020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19F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07A25" w:rsidRDefault="00207A25" w:rsidP="0020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83"/>
          <w:b/>
          <w:sz w:val="24"/>
          <w:szCs w:val="24"/>
        </w:rPr>
      </w:pPr>
      <w:r w:rsidRPr="008D719F">
        <w:rPr>
          <w:rFonts w:ascii="Times New Roman" w:hAnsi="Times New Roman"/>
          <w:b/>
          <w:bCs/>
          <w:sz w:val="24"/>
          <w:szCs w:val="24"/>
        </w:rPr>
        <w:t xml:space="preserve">государственных услуг </w:t>
      </w:r>
      <w:r>
        <w:rPr>
          <w:rFonts w:ascii="Times New Roman" w:hAnsi="Times New Roman"/>
          <w:b/>
          <w:sz w:val="24"/>
          <w:szCs w:val="24"/>
        </w:rPr>
        <w:t xml:space="preserve">и услуг Корпорации МСП, </w:t>
      </w:r>
      <w:r w:rsidRPr="008D719F">
        <w:rPr>
          <w:rFonts w:ascii="Times New Roman" w:hAnsi="Times New Roman"/>
          <w:b/>
          <w:bCs/>
          <w:sz w:val="24"/>
          <w:szCs w:val="24"/>
        </w:rPr>
        <w:t xml:space="preserve">предоставляемых в </w:t>
      </w:r>
      <w:r w:rsidRPr="008D719F">
        <w:rPr>
          <w:rStyle w:val="FontStyle83"/>
          <w:b/>
          <w:sz w:val="24"/>
          <w:szCs w:val="24"/>
        </w:rPr>
        <w:t xml:space="preserve">МФЦ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69"/>
        <w:gridCol w:w="142"/>
      </w:tblGrid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20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3D7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3D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3D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69" w:type="dxa"/>
          </w:tcPr>
          <w:p w:rsidR="00207A25" w:rsidRPr="00FD3D7E" w:rsidRDefault="00207A25" w:rsidP="009B0228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7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Чувашской Республике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– Чувашии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20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имущество.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20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сведений, содержащихся в Едином государс</w:t>
            </w:r>
            <w:r w:rsidRPr="007472D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472D0">
              <w:rPr>
                <w:rFonts w:ascii="Times New Roman" w:hAnsi="Times New Roman"/>
                <w:bCs/>
                <w:sz w:val="24"/>
                <w:szCs w:val="24"/>
              </w:rPr>
              <w:t>венном реестре недвижимости.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Министерство внутренних дел по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в место пребывания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проставления отметки о приеме уведомления)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движения.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веществ.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службы судебных приставов по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Style w:val="FontStyle83"/>
                <w:b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по уплате налогов, сборов, страховых взносов, пеней, штрафов, процентов)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  <w:r>
              <w:rPr>
                <w:rStyle w:val="FontStyle83"/>
                <w:b/>
                <w:sz w:val="24"/>
                <w:szCs w:val="24"/>
              </w:rPr>
              <w:t>0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  <w:r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  <w:r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13</w:t>
            </w:r>
          </w:p>
        </w:tc>
        <w:tc>
          <w:tcPr>
            <w:tcW w:w="9569" w:type="dxa"/>
          </w:tcPr>
          <w:p w:rsidR="00207A25" w:rsidRPr="00207A25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25">
              <w:rPr>
                <w:rFonts w:ascii="Times New Roman" w:hAnsi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Отделение Пенсионного фонда Российской Федерации по Чувашской Республике – Чувашии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</w:t>
            </w:r>
            <w:hyperlink r:id="rId7" w:history="1">
              <w:r w:rsidRPr="007472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районах</w:t>
              </w:r>
            </w:hyperlink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Крайнего Севера и приравненных к ним местностях</w:t>
            </w:r>
            <w:r w:rsidRPr="007472D0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федеральной социальной доплаты к пенсии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</w:t>
            </w:r>
            <w:hyperlink r:id="rId8" w:history="1">
              <w:r w:rsidRPr="007472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"Об индивидуальном (персонифицированном) учете в системе обязательного пенсионного страхования"</w:t>
              </w:r>
            </w:hyperlink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7472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"Об инвестировании сре</w:t>
              </w:r>
              <w:proofErr w:type="gramStart"/>
              <w:r w:rsidRPr="007472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дств дл</w:t>
              </w:r>
              <w:proofErr w:type="gramEnd"/>
              <w:r w:rsidRPr="007472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я финансирования накопительной пенсии в Российской Федерации"</w:t>
              </w:r>
            </w:hyperlink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Выдача гражданам справок о размере пенсий (иных выплат).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  <w:r w:rsidRPr="007472D0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 в сфере здравоохранения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207A25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A2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и учета уведомления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  <w:r w:rsidRPr="00207A25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207A25" w:rsidRPr="00FD3D7E" w:rsidTr="00C86EC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207A25" w:rsidRDefault="00207A25" w:rsidP="0020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Центральная избирательная комиссии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207A25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Прием и обработка заявлений о включении избирателя в список избирателей по месту нахождения на выборах Президента Российской Федерации и направление соответствующей информации в территориальные избирательные комиссии.</w:t>
            </w:r>
            <w:r w:rsidRPr="007472D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207A25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207A25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– Чувашии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>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8D719F" w:rsidRDefault="00207A25" w:rsidP="009B0228">
            <w:pPr>
              <w:pStyle w:val="a3"/>
              <w:widowControl w:val="0"/>
              <w:suppressAutoHyphens/>
              <w:autoSpaceDE w:val="0"/>
              <w:snapToGrid w:val="0"/>
              <w:ind w:left="143" w:right="-3"/>
              <w:contextualSpacing w:val="0"/>
            </w:pPr>
            <w:r>
              <w:t>6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назначению и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страхователя.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207A25" w:rsidRDefault="00207A25" w:rsidP="009B0228">
            <w:pPr>
              <w:pStyle w:val="a3"/>
              <w:widowControl w:val="0"/>
              <w:suppressAutoHyphens/>
              <w:autoSpaceDE w:val="0"/>
              <w:snapToGrid w:val="0"/>
              <w:ind w:left="143" w:right="-3"/>
              <w:contextualSpacing w:val="0"/>
            </w:pPr>
            <w:r w:rsidRPr="00207A25">
              <w:t>7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применении очередности списания денежных средств со счета, предусмотренной Гражданским кодексом Российской Федерации, либо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установления местонахождения страхователя и его имущества, на которое может быть наложено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лицу, либо в случае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207A25" w:rsidRDefault="00207A25" w:rsidP="009B0228">
            <w:pPr>
              <w:pStyle w:val="a3"/>
              <w:widowControl w:val="0"/>
              <w:suppressAutoHyphens/>
              <w:autoSpaceDE w:val="0"/>
              <w:snapToGrid w:val="0"/>
              <w:ind w:left="176" w:right="-3"/>
              <w:contextualSpacing w:val="0"/>
              <w:jc w:val="center"/>
            </w:pPr>
            <w:r w:rsidRPr="00207A25">
              <w:t>8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207A25" w:rsidRDefault="00207A25" w:rsidP="009B0228">
            <w:pPr>
              <w:pStyle w:val="a3"/>
              <w:widowControl w:val="0"/>
              <w:suppressAutoHyphens/>
              <w:autoSpaceDE w:val="0"/>
              <w:snapToGrid w:val="0"/>
              <w:ind w:left="176" w:right="-3"/>
              <w:contextualSpacing w:val="0"/>
              <w:jc w:val="center"/>
            </w:pPr>
            <w:r w:rsidRPr="00207A25">
              <w:t>9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назначению и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застрахованным лицам единовременного пособия при рождении ребенка в случае невозможности его выплаты страхователем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207A25" w:rsidRDefault="00207A25" w:rsidP="009B0228">
            <w:pPr>
              <w:pStyle w:val="a3"/>
              <w:widowControl w:val="0"/>
              <w:suppressAutoHyphens/>
              <w:autoSpaceDE w:val="0"/>
              <w:snapToGrid w:val="0"/>
              <w:ind w:left="176" w:right="-3"/>
              <w:contextualSpacing w:val="0"/>
              <w:jc w:val="center"/>
            </w:pPr>
            <w:r w:rsidRPr="00207A25">
              <w:t>10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pStyle w:val="ConsPlusDocList"/>
              <w:snapToGrid w:val="0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назначению и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Гражданским кодексом Российской Федерации, либо в случае отсутствия возможности установления </w:t>
            </w:r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лицу, либо в случае если на день обращения застрахованного лица за указанным пособием в отношении страхователя проводятся процедуры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</w:t>
            </w:r>
            <w:proofErr w:type="gramEnd"/>
            <w:r w:rsidRPr="0020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деле о банкротстве страхователя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spellStart"/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47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Чувашской Республике – Чувашии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207A25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инспекция труда в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A2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Выдает лицензии на розничную продажу алкогольной продукции (за исключен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ем лицензий на розничную продажу вина, игристого вина (шампанского), осущ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ствляемую сельскохозяйственными товаропроизводителями (организациями, индивидуальными предпринимателями, крестьянскими (фермерскими) хозяйств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ми), признаваемыми таковыми в соответствии с Федеральным законом «О разв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тии сельского хозяйства»)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Лицензирует заготовку, хранение, переработку и реализацию лома черных мета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лов, цветных металлов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Оказывает государственную поддержку субъектам малого и среднего предпринимательства в форме возмещения субъектам малого и среднего предпринимател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ства части затрат на участие в региональных, межрегиональных и международных 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ы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ставках, </w:t>
            </w:r>
            <w:proofErr w:type="spellStart"/>
            <w:r w:rsidRPr="007472D0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-ярмарочных и </w:t>
            </w:r>
            <w:proofErr w:type="spellStart"/>
            <w:r w:rsidRPr="007472D0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Оказывает государственную поддержку субъектам малого и среднего предпринимательства в форме предоставления субсидий субъектам малого и среднего пре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й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скими лизинговыми организациями в целях создания и (или) развития либо модернизации производства товаров (р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бот, услуг)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Оказывает государственную поддержку субъектам малого и среднего предприн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мательства в форме предоставления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ние части затрат, связанных с приобретением оборудования в целях создания и (или) развития либо модернизации пр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изводства товаров (работ, услуг)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Осуществляет лицензирование образовательной деятельности организаций, осуществляющих образовательную деятельность на территории Чувашской Респу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лики (за исключением организаций, указанных в пункте 7 части 1 статьи 6 Федерального закона «Об образовании в Российской Ф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дерации»)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Осуществляет государственную аккредитацию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пункте 7 ча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ти 1 статьи 6 Федерального закона «Об образовании в Российской Федерации»)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Style w:val="FontStyle82"/>
                <w:bCs/>
                <w:sz w:val="24"/>
                <w:szCs w:val="24"/>
              </w:rPr>
              <w:t>Министерство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физической культуры и спорта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Присваивает спортивные разряды и квалификационные категории спортивных 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дей в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статьей 22 Федерального закона «О физической культ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ре и спорте в Российской Федерации»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Министерство транспорта и  дорожного хозяйства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Осуществляет полномочия, связанные с организацией перевозок легковым такси, в части выдачи разрешения на осуществление деятельности по перевозке пассажиров и багажа легковым такси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юстиции  и  имущественных отношений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Удостоверяет путем проставления </w:t>
            </w:r>
            <w:proofErr w:type="spellStart"/>
            <w:r w:rsidRPr="007472D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официальные документы,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отсутствия, в случаях, установленных межд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народными договорами Российской Федерации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Выдает повторные свидетельства о государственной регистрации актов гражданского состояния и иные документы, подтверждающие наличие или отсутствие факта государственной регистрации акта гражданского состо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я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ния, в случаях, установленных законодательством Российской Федерации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ственной собственности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Передает имущество, находящееся в государственной собственности 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вашской Республики, в аренду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Передает имущество, находящееся в государственной собственности 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вашской Республики, в доверительное управление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Передает имущество, находящееся в государственной собственности 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вашской Республики, в безвозмездное пользование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Передает земельные участки, находящиеся в государственной собственности Чувашской Республики, в аре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Выдает информацию из реестра государственного имущества Чува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ш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Предоставляет земельные участки из земель сельскохозяйственного назначения, находящиеся в государственной собственности Чувашской Республики, для осуществления крестьянским (фермерским) хозяйством деятельности, расширения такой деятел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разрешение на строительство, если при проведении работ по 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 «Об объектах культурного наследия (памя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никах истории и культуры) народов Российской Федерации», объекта культурн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го наследия (памятника истории и культуры) регионального (республиканского) зн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чения, выявленного объекта культурного наследия затрагиваются конструктивные и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другие хара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теристики надежности и безопасности такого объекта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разрешение на ввод объекта в эксплуатацию,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 «Об объектах культурного насл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дия (памятниках истории и культуры) народов Российской Федерации», объекта кул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турного наследия (памятника истории и культуры) регионального (республика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ского) значения, выявленного объекта культурного наследия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затрагиваются конструктивные и другие характеристики надежности и безопасности такого об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ъ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решения о выдаче разрешения на строительство в случае осуществл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строительства, реконструкции объекта капитального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в гран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цах особо охраняемой природной территории регионального значения (за искл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ю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чением лечебно-оздоровительных местностей и курортов)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решения о выдаче разрешения на ввод объекта в эксплуатацию в сл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чае осуществления строительства, реконструкции объекта капитального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в границах особо охраняемой природной территории регионального значения (за исключением лечебно-оздоровительных мес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ностей и курортов)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решения о выдаче разрешений на выполнение работ по геологическ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му изучению недр на землях лесного фонда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и рассматривает лесные декларации, поданные лицами, которым ле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ные участки предоставлены в постоянное (бессрочное) пользов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ние или в аренду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разрешения на выбросы вредных (загрязняющих) веществ в атмосфе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ный воздух стационарными источниками, находящимися на объектах хозяйс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венной и иной деятельности, подлежащих региональному государственному экологическому надзору, в порядке, определенном Правительством Российской Ф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Принимает решения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о предоставлении в границах земель лесного фонда лесных участков в аренду без проведения аукционов по продаже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права на заключение договоров аренды лесных участков, находящихся в государственной собственн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выдаче и аннулированию охотничьих бил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тов единого федерального образца в порядке, установленном уполн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моченным федеральным органом исполнительной власти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разрешения на добычу охотничьих ресурсов в общедоступных охотнич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их угодьях физическим лицам, указанным в части 1 статьи 20 Федерального з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кона «Об охоте и о сохранении охотничьих ресурсов и о внесении изменений в отдельные законодательные акты Российской Фед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рации»,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дерации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строительства, архитектуры и жилищно-коммунального хозяйства </w:t>
            </w:r>
          </w:p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разрешение на строительство в случае, если строительство объекта кап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тельства, расположенного на территориях двух и более муниципальных образований (муниципальных 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й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онов, 2городских округов), за исключением случаев, установленных частями 5 и 5.1 ст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тьи 51 Градостроительного кодекса Российской Федерации и другими федерал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законами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Выдает разрешение на ввод объекта в эксплуатацию в случае строительства об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ъ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екта капитального строительства, расположенного на территориях двух и более муниципальных образований (муниципальных районов, г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родских округов), и в случае реконструкции объекта капитального стро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тельства, расположенного на территориях двух и более муниципальных образований (муниципальных 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й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онов, городских округов), за исключением случаев, установленных частями 5 и 5.1 статьи 51 Градостроительного кодекса Российской Федерации и другими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ными законами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Выдает заключение (в случае, если предусмотрено осуществление реги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нального государственного строительного надзора) о соответствии построенного, реконс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руированного объекта капитального строительства требованиям технических регламентов и проектной документации, в том числе требованиям энергетич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ской эффективности и требованиям оснащенности объекта капитального строительства приборами учета испол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зуемых энергетических ресурсов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Министерство труда и социальной защиты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в Чувашской Республике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я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тельности (профессии), трудоустройства, прохождения профессионального обучения и получения дополнительного профессионального 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вание безработных граждан, включая обучение в другой местности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 от 14 до 18 лет в свободное от учебы время, безработных граждан, испыт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ы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вые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7472D0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включая оказание гра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лению органов службы занятости, единовременной финансовой помощи при их госуда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10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Содействие безработным гражданам в переезде и безработным гражданам и чл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нам их семей в переселении в другую местность для трудоустройства по напра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лению органов службы занятости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решение о предоставлении материальной помощи гражданам, нах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дящимся в трудной жизненной ситуации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регистрации малоимущих семей и малоим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щих одиноко проживающих граждан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ежемесячных дене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ных выплат ветеранам труда, ветеранам труда Чувашской Республики, тружен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кам тыла военных лет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ежемесячной дене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ной компенсации расходов на оплату жилого помещения и коммунальных услуг отдельным категориям граждан, указанным в Законе Чувашской Республики «О форме предоставления мер социальной поддер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ки по оплате жилого помещения и коммунальных услуг отдельным кат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гориям граждан»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ежемесячного пос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бия на ребенка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пособия по береме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ности и родам женщинам, признанным в установленном порядке безработными, и некоторым другим категориям женщин в соответствии с Законом Чувашской Республики «О государственных пособиях гражд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нам, имеющим детей»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единовременного пособия при рождении ребенка лицам, не подлежащим обязательному социал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вательных организациях, образовательных организациях высшего образования, образовательных организациях дополнительного професси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нального образования и научных организациях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ежемесячного пос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бия по уходу за ребенком гражданам, не подлежащим обязательному социальн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образовательных организациях высшего образования, образовательных организациях дополнительного профессионального 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разования и научных организациях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единовременного пособия беременной жене военнослужащего, проходящего военную службу по пр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зыву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20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ежемесячного пос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бия на ребенка военнослужащего, проходящего военную службу по призыву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выплате ежемесячной дене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ной компенсации беременным женщинам, кормящим матерям, а также родит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лям (законным представителям) детей в возрасте до трех лет для обеспечения их по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ноценным питанием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дополнительных мер государственной поддержки семьям, имеющим детей, в соответствии с Законом Чувашской Республики «О дополнительных мерах государственной поддержки 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мей, имеющих детей»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ветеранам труда и ветер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нам труда Чувашской Республики денежной компенсации в размере 50-процент</w:t>
            </w:r>
            <w:r w:rsidRPr="007472D0">
              <w:rPr>
                <w:rFonts w:ascii="Times New Roman" w:hAnsi="Times New Roman"/>
                <w:sz w:val="24"/>
                <w:szCs w:val="24"/>
              </w:rPr>
              <w:softHyphen/>
              <w:t>ной стоимости предоставления абоненту в пользование абонентской линии (пр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водимой линии) сети местной телефонной связи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мер социальной поддер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ки по оплате жилищно-коммунальных услуг отдельным категориям граждан, име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ю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щим на это право согласно Закону Чувашской Республики «О социальной поддержке отдельных категорий граждан по оплате жилищно-коммунальных 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луг»</w:t>
            </w:r>
          </w:p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мер социальной поддер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ки – субсидий гражданам на оплату жилого помещения и комм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нальных услуг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26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мер социальной поддер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ки – социального пособия на погребение умерших граждан, не подлежавших об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я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зательному социальному страхованию на случай временной нетрудоспособности и в связи с материнством на день смерти и не явля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шихся пенсионерами, а также в случае рождения мертвого ребенка по истечении 154 дней беременности, а та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же возмещение стоимости гарантированного перечня услуг по погребению специал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зированной службе по вопросам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похоронного дела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27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предоставлению мер социальной поддер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ки – ежемесячной денежной выплаты в соответствии с Законом Чувашской Ре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публики «О ежемесячной денежной выплате семьям в случае рождения (усыно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ления) третьего ребенка или последующих детей»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28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получению членами семей погибших (умерших) военнослужащих и сотрудников некоторых федеральных органов исполн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29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й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End"/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30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лезни и других заболеваний, возникших в связи с чернобыльской катастрофой, а также умерших граждан из числа инвалидов вследствие чернобыльской катастр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фы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31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ежемесячной компенс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 xml:space="preserve">ционной выплаты </w:t>
            </w:r>
            <w:r w:rsidRPr="007472D0">
              <w:rPr>
                <w:rFonts w:ascii="Times New Roman" w:hAnsi="Times New Roman"/>
                <w:sz w:val="24"/>
                <w:szCs w:val="24"/>
              </w:rPr>
              <w:lastRenderedPageBreak/>
              <w:t>нетрудоустроенным женщинам, имеющим детей в во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расте до трех лет, уволенным в связи с ликвидацией организации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работу по оформлению и выдаче специальных удостоверений гражд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нам, подвергшимся воздействию радиации вследствие радиационных аварий и к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тастроф, а также членам их семей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33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Принимает решение о постановке на очередь граждан пожилого возраста и инвалидов для направления в организации социального обслуживания, н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ходящиеся в ведении Чувашской Республики, предоставляющие социальные услуги в стаци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нарной форме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34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Разрабатывает для Кабинета Министров Чувашской Республики предл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жения по вопросам присвоения гражданам званий «Ветеран труда» и «Ветеран труда Ч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2D0">
              <w:rPr>
                <w:rFonts w:ascii="Times New Roman" w:hAnsi="Times New Roman"/>
                <w:sz w:val="24"/>
                <w:szCs w:val="24"/>
              </w:rPr>
              <w:t>вашской Республики»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35</w:t>
            </w:r>
          </w:p>
        </w:tc>
        <w:tc>
          <w:tcPr>
            <w:tcW w:w="9569" w:type="dxa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Исполняет функции организатора по назначению и осуществлению ежемесячной выплаты в связи с рождением (усыновлением) первого ребенка</w:t>
            </w:r>
          </w:p>
        </w:tc>
      </w:tr>
      <w:tr w:rsidR="00207A25" w:rsidRPr="00CD3A38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>Министерство здравоохранения 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Лицензирует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реестров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выданных уполномоченным органом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органа с указанием адресов электронной почты, по которым пользователями этой информации могут быть направлены запросы и получена запрашиваемая информация) медицинскую деятельность (за исключением медицинской деятельности, предусматривающей оказание услуг по высокотехнологичной медицинской помощи) медицинских организаций (за исключением медицинских организаций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федеральным органам исполнительной власти)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  <w:vAlign w:val="bottom"/>
          </w:tcPr>
          <w:p w:rsidR="00207A25" w:rsidRPr="007472D0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D0">
              <w:rPr>
                <w:rFonts w:ascii="Times New Roman" w:hAnsi="Times New Roman"/>
                <w:sz w:val="24"/>
                <w:szCs w:val="24"/>
              </w:rPr>
              <w:t xml:space="preserve">Лицензирует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реестров</w:t>
            </w:r>
            <w:proofErr w:type="gramEnd"/>
            <w:r w:rsidRPr="007472D0">
              <w:rPr>
                <w:rFonts w:ascii="Times New Roman" w:hAnsi="Times New Roman"/>
                <w:sz w:val="24"/>
                <w:szCs w:val="24"/>
              </w:rPr>
              <w:t xml:space="preserve"> выданных уполномоченным органом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</w:t>
            </w:r>
            <w:proofErr w:type="gramStart"/>
            <w:r w:rsidRPr="007472D0">
              <w:rPr>
                <w:rFonts w:ascii="Times New Roman" w:hAnsi="Times New Roman"/>
                <w:sz w:val="24"/>
                <w:szCs w:val="24"/>
              </w:rPr>
              <w:t>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органа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  <w:proofErr w:type="gramEnd"/>
          </w:p>
        </w:tc>
      </w:tr>
      <w:tr w:rsidR="00207A25" w:rsidRPr="00FD3D7E" w:rsidTr="00BE3B70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207A25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25">
              <w:rPr>
                <w:rFonts w:ascii="Times New Roman" w:hAnsi="Times New Roman"/>
                <w:b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207A25">
              <w:rPr>
                <w:rFonts w:ascii="Times New Roman" w:hAnsi="Times New Roman"/>
                <w:b/>
                <w:sz w:val="24"/>
                <w:szCs w:val="24"/>
              </w:rPr>
              <w:t>Чуваштехинвентаризация</w:t>
            </w:r>
            <w:proofErr w:type="spellEnd"/>
            <w:r w:rsidRPr="00207A25">
              <w:rPr>
                <w:rFonts w:ascii="Times New Roman" w:hAnsi="Times New Roman"/>
                <w:b/>
                <w:sz w:val="24"/>
                <w:szCs w:val="24"/>
              </w:rPr>
              <w:t>» Министерства юстиции и имущественных отношений Чувашской Республики</w:t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25">
              <w:rPr>
                <w:rFonts w:ascii="Times New Roman" w:hAnsi="Times New Roman"/>
                <w:sz w:val="24"/>
                <w:szCs w:val="24"/>
              </w:rPr>
              <w:t>Замечания к промежуточным отчетным документам, составленным по результатам определения кадастровой стоимости.</w:t>
            </w:r>
            <w:r w:rsidRPr="00207A25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569" w:type="dxa"/>
            <w:vAlign w:val="bottom"/>
          </w:tcPr>
          <w:p w:rsidR="00207A25" w:rsidRPr="00207A25" w:rsidRDefault="00207A25" w:rsidP="009B0228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25">
              <w:rPr>
                <w:rFonts w:ascii="Times New Roman" w:hAnsi="Times New Roman"/>
                <w:sz w:val="24"/>
                <w:szCs w:val="24"/>
              </w:rPr>
              <w:t>Обращения об исправлении технических и (или) методологических ошибок, допущенных при определении кадастровой стоимости.</w:t>
            </w:r>
            <w:r w:rsidRPr="00207A25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207A25" w:rsidRPr="00FD3D7E" w:rsidTr="009B0228">
        <w:trPr>
          <w:gridAfter w:val="1"/>
          <w:wAfter w:w="142" w:type="dxa"/>
        </w:trPr>
        <w:tc>
          <w:tcPr>
            <w:tcW w:w="10349" w:type="dxa"/>
            <w:gridSpan w:val="2"/>
          </w:tcPr>
          <w:p w:rsidR="00207A25" w:rsidRPr="007472D0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bookmarkStart w:id="0" w:name="_GoBack"/>
            <w:bookmarkEnd w:id="0"/>
            <w:r w:rsidRPr="007472D0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«Федеральная корпорация малого и среднего предпринимательства»</w:t>
            </w:r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1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2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  <w:proofErr w:type="gramEnd"/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3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 малого и среднего предпринимательства</w:t>
            </w:r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4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5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6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2D0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207A25" w:rsidRPr="00FD3D7E" w:rsidTr="009B0228">
        <w:tc>
          <w:tcPr>
            <w:tcW w:w="780" w:type="dxa"/>
          </w:tcPr>
          <w:p w:rsidR="00207A25" w:rsidRPr="00FD3D7E" w:rsidRDefault="00207A25" w:rsidP="009B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FD3D7E">
              <w:rPr>
                <w:rStyle w:val="FontStyle83"/>
                <w:b/>
                <w:sz w:val="24"/>
                <w:szCs w:val="24"/>
              </w:rPr>
              <w:t>7</w:t>
            </w:r>
          </w:p>
        </w:tc>
        <w:tc>
          <w:tcPr>
            <w:tcW w:w="9711" w:type="dxa"/>
            <w:gridSpan w:val="2"/>
          </w:tcPr>
          <w:p w:rsidR="00207A25" w:rsidRPr="007472D0" w:rsidRDefault="00207A25" w:rsidP="009B0228">
            <w:pPr>
              <w:pStyle w:val="ConsPlusNonformat"/>
              <w:ind w:right="-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2D0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регистрации на Портале Бизнес-навигатора МСП </w:t>
            </w:r>
          </w:p>
        </w:tc>
      </w:tr>
    </w:tbl>
    <w:p w:rsidR="00490949" w:rsidRDefault="00490949"/>
    <w:sectPr w:rsidR="004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25" w:rsidRDefault="00207A25" w:rsidP="00207A25">
      <w:pPr>
        <w:spacing w:after="0" w:line="240" w:lineRule="auto"/>
      </w:pPr>
      <w:r>
        <w:separator/>
      </w:r>
    </w:p>
  </w:endnote>
  <w:endnote w:type="continuationSeparator" w:id="0">
    <w:p w:rsidR="00207A25" w:rsidRDefault="00207A25" w:rsidP="0020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25" w:rsidRDefault="00207A25" w:rsidP="00207A25">
      <w:pPr>
        <w:spacing w:after="0" w:line="240" w:lineRule="auto"/>
      </w:pPr>
      <w:r>
        <w:separator/>
      </w:r>
    </w:p>
  </w:footnote>
  <w:footnote w:type="continuationSeparator" w:id="0">
    <w:p w:rsidR="00207A25" w:rsidRDefault="00207A25" w:rsidP="00207A25">
      <w:pPr>
        <w:spacing w:after="0" w:line="240" w:lineRule="auto"/>
      </w:pPr>
      <w:r>
        <w:continuationSeparator/>
      </w:r>
    </w:p>
  </w:footnote>
  <w:footnote w:id="1">
    <w:p w:rsidR="00207A25" w:rsidRDefault="00207A25" w:rsidP="00207A25">
      <w:pPr>
        <w:pStyle w:val="a8"/>
        <w:spacing w:after="0"/>
        <w:jc w:val="both"/>
      </w:pPr>
      <w:r w:rsidRPr="00DD14BA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DD14B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D14BA">
        <w:rPr>
          <w:rFonts w:ascii="Times New Roman" w:hAnsi="Times New Roman"/>
          <w:b/>
          <w:sz w:val="16"/>
          <w:szCs w:val="16"/>
        </w:rPr>
        <w:t>Может предоставляться уполномоченным многофункциональным центром предоставления государственных и муниципальных услуг, находящихся в районах Крайнего Севера и приравненных к ним местностях.</w:t>
      </w:r>
    </w:p>
  </w:footnote>
  <w:footnote w:id="2">
    <w:p w:rsidR="00207A25" w:rsidRDefault="00207A25" w:rsidP="00207A25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Pr="00DD14BA">
        <w:rPr>
          <w:rFonts w:ascii="Times New Roman" w:hAnsi="Times New Roman"/>
          <w:b/>
          <w:sz w:val="16"/>
          <w:szCs w:val="16"/>
        </w:rPr>
        <w:t>Услуга в многофункциональном центре будет осуществляться в отношении земельных участков площадью равной либо меньше 10 га после утверждения административных регламентов по оказанию соответствующих государственных услуг</w:t>
      </w:r>
    </w:p>
  </w:footnote>
  <w:footnote w:id="3">
    <w:p w:rsidR="00207A25" w:rsidRPr="0031517E" w:rsidRDefault="00207A25" w:rsidP="00207A25">
      <w:pPr>
        <w:pStyle w:val="a4"/>
        <w:rPr>
          <w:rFonts w:ascii="Times New Roman" w:hAnsi="Times New Roman"/>
          <w:b/>
          <w:sz w:val="16"/>
          <w:szCs w:val="16"/>
        </w:rPr>
      </w:pPr>
      <w:r w:rsidRPr="0031517E">
        <w:rPr>
          <w:rStyle w:val="a6"/>
          <w:rFonts w:ascii="Times New Roman" w:hAnsi="Times New Roman"/>
          <w:b/>
          <w:sz w:val="16"/>
          <w:szCs w:val="16"/>
        </w:rPr>
        <w:footnoteRef/>
      </w:r>
      <w:r w:rsidRPr="0031517E">
        <w:rPr>
          <w:rFonts w:ascii="Times New Roman" w:hAnsi="Times New Roman"/>
          <w:b/>
          <w:sz w:val="16"/>
          <w:szCs w:val="16"/>
        </w:rPr>
        <w:t xml:space="preserve"> Предоставление услуги в многофункциональном центре будет осуществляться после обеспечения технической готовности МФЦ к обмену данными через СМЭВ, либо после предоставления Росздравнадзором  доступа МФЦ к электронному сервису, раз</w:t>
      </w:r>
      <w:r>
        <w:rPr>
          <w:rFonts w:ascii="Times New Roman" w:hAnsi="Times New Roman"/>
          <w:b/>
          <w:sz w:val="16"/>
          <w:szCs w:val="16"/>
        </w:rPr>
        <w:t>м</w:t>
      </w:r>
      <w:r w:rsidRPr="0031517E">
        <w:rPr>
          <w:rFonts w:ascii="Times New Roman" w:hAnsi="Times New Roman"/>
          <w:b/>
          <w:sz w:val="16"/>
          <w:szCs w:val="16"/>
        </w:rPr>
        <w:t xml:space="preserve">ещенному на </w:t>
      </w:r>
      <w:proofErr w:type="gramStart"/>
      <w:r w:rsidRPr="0031517E">
        <w:rPr>
          <w:rFonts w:ascii="Times New Roman" w:hAnsi="Times New Roman"/>
          <w:b/>
          <w:sz w:val="16"/>
          <w:szCs w:val="16"/>
        </w:rPr>
        <w:t>интернет-портале</w:t>
      </w:r>
      <w:proofErr w:type="gramEnd"/>
      <w:r w:rsidRPr="0031517E">
        <w:rPr>
          <w:rFonts w:ascii="Times New Roman" w:hAnsi="Times New Roman"/>
          <w:b/>
          <w:sz w:val="16"/>
          <w:szCs w:val="16"/>
        </w:rPr>
        <w:t xml:space="preserve"> Росздравнадзора</w:t>
      </w:r>
    </w:p>
  </w:footnote>
  <w:footnote w:id="4">
    <w:p w:rsidR="00207A25" w:rsidRPr="007D2C6D" w:rsidRDefault="00207A25" w:rsidP="00207A25">
      <w:pPr>
        <w:pStyle w:val="a4"/>
        <w:rPr>
          <w:b/>
        </w:rPr>
      </w:pPr>
      <w:r w:rsidRPr="007D2C6D">
        <w:rPr>
          <w:rStyle w:val="a6"/>
          <w:b/>
          <w:sz w:val="16"/>
          <w:szCs w:val="16"/>
        </w:rPr>
        <w:footnoteRef/>
      </w:r>
      <w:r w:rsidRPr="007D2C6D">
        <w:rPr>
          <w:rFonts w:ascii="Times New Roman" w:hAnsi="Times New Roman"/>
          <w:b/>
          <w:sz w:val="16"/>
          <w:szCs w:val="16"/>
        </w:rPr>
        <w:t xml:space="preserve"> Услуга в многофункциональном центре будет предоставляться с 31.01.2018</w:t>
      </w:r>
      <w:r>
        <w:rPr>
          <w:rFonts w:ascii="Times New Roman" w:hAnsi="Times New Roman"/>
          <w:b/>
          <w:sz w:val="16"/>
          <w:szCs w:val="16"/>
        </w:rPr>
        <w:t xml:space="preserve"> г.</w:t>
      </w:r>
    </w:p>
  </w:footnote>
  <w:footnote w:id="5">
    <w:p w:rsidR="00207A25" w:rsidRPr="005B346C" w:rsidRDefault="00207A25" w:rsidP="00207A2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207A25">
        <w:rPr>
          <w:rStyle w:val="a6"/>
          <w:rFonts w:ascii="Times New Roman" w:hAnsi="Times New Roman"/>
        </w:rPr>
        <w:footnoteRef/>
      </w:r>
      <w:r w:rsidRPr="00207A25">
        <w:rPr>
          <w:rFonts w:ascii="Times New Roman" w:hAnsi="Times New Roman"/>
          <w:vertAlign w:val="superscript"/>
        </w:rPr>
        <w:t>, 6</w:t>
      </w:r>
      <w:r w:rsidRPr="00207A25">
        <w:rPr>
          <w:rFonts w:ascii="Times New Roman" w:hAnsi="Times New Roman"/>
        </w:rPr>
        <w:t xml:space="preserve"> Услуга будет предоставляться после уведомления БУ ЧР «</w:t>
      </w:r>
      <w:proofErr w:type="spellStart"/>
      <w:r w:rsidRPr="00207A25">
        <w:rPr>
          <w:rFonts w:ascii="Times New Roman" w:hAnsi="Times New Roman"/>
        </w:rPr>
        <w:t>Чуваштехинвентаризация</w:t>
      </w:r>
      <w:proofErr w:type="spellEnd"/>
      <w:r w:rsidRPr="00207A25">
        <w:rPr>
          <w:rFonts w:ascii="Times New Roman" w:hAnsi="Times New Roman"/>
        </w:rPr>
        <w:t>» МФЦ  о размещении замечаний к промежуточным отчетным документам на официальном сайте в сети «Интернет», а также о принятии акта об утверждении результатов определения кадастровой стоимости</w:t>
      </w:r>
      <w:r w:rsidRPr="005B346C">
        <w:rPr>
          <w:rFonts w:ascii="Times New Roman" w:hAnsi="Times New Roman"/>
        </w:rPr>
        <w:t xml:space="preserve"> </w:t>
      </w:r>
    </w:p>
  </w:footnote>
  <w:footnote w:id="6">
    <w:p w:rsidR="00207A25" w:rsidRDefault="00207A25" w:rsidP="00207A2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5"/>
    <w:rsid w:val="00207A25"/>
    <w:rsid w:val="004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2">
    <w:name w:val="Font Style82"/>
    <w:uiPriority w:val="99"/>
    <w:rsid w:val="00207A25"/>
    <w:rPr>
      <w:rFonts w:ascii="Times New Roman" w:hAnsi="Times New Roman"/>
      <w:b/>
      <w:sz w:val="30"/>
    </w:rPr>
  </w:style>
  <w:style w:type="character" w:customStyle="1" w:styleId="FontStyle83">
    <w:name w:val="Font Style83"/>
    <w:uiPriority w:val="99"/>
    <w:rsid w:val="00207A25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207A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207A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7A2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207A25"/>
    <w:rPr>
      <w:rFonts w:cs="Times New Roman"/>
      <w:vertAlign w:val="superscript"/>
    </w:rPr>
  </w:style>
  <w:style w:type="character" w:styleId="a7">
    <w:name w:val="Hyperlink"/>
    <w:basedOn w:val="a0"/>
    <w:unhideWhenUsed/>
    <w:rsid w:val="00207A2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07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A25"/>
    <w:rPr>
      <w:rFonts w:ascii="Calibri" w:eastAsia="Times New Roman" w:hAnsi="Calibri" w:cs="Times New Roman"/>
    </w:rPr>
  </w:style>
  <w:style w:type="paragraph" w:customStyle="1" w:styleId="ConsPlusDocList">
    <w:name w:val="  ConsPlusDocList"/>
    <w:next w:val="a"/>
    <w:rsid w:val="00207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2">
    <w:name w:val="Font Style82"/>
    <w:uiPriority w:val="99"/>
    <w:rsid w:val="00207A25"/>
    <w:rPr>
      <w:rFonts w:ascii="Times New Roman" w:hAnsi="Times New Roman"/>
      <w:b/>
      <w:sz w:val="30"/>
    </w:rPr>
  </w:style>
  <w:style w:type="character" w:customStyle="1" w:styleId="FontStyle83">
    <w:name w:val="Font Style83"/>
    <w:uiPriority w:val="99"/>
    <w:rsid w:val="00207A25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207A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207A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7A2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207A25"/>
    <w:rPr>
      <w:rFonts w:cs="Times New Roman"/>
      <w:vertAlign w:val="superscript"/>
    </w:rPr>
  </w:style>
  <w:style w:type="character" w:styleId="a7">
    <w:name w:val="Hyperlink"/>
    <w:basedOn w:val="a0"/>
    <w:unhideWhenUsed/>
    <w:rsid w:val="00207A2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07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A25"/>
    <w:rPr>
      <w:rFonts w:ascii="Calibri" w:eastAsia="Times New Roman" w:hAnsi="Calibri" w:cs="Times New Roman"/>
    </w:rPr>
  </w:style>
  <w:style w:type="paragraph" w:customStyle="1" w:styleId="ConsPlusDocList">
    <w:name w:val="  ConsPlusDocList"/>
    <w:next w:val="a"/>
    <w:rsid w:val="00207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1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883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47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5523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МФЦ 1</dc:creator>
  <cp:lastModifiedBy>ПК МФЦ 1</cp:lastModifiedBy>
  <cp:revision>1</cp:revision>
  <dcterms:created xsi:type="dcterms:W3CDTF">2018-08-21T12:58:00Z</dcterms:created>
  <dcterms:modified xsi:type="dcterms:W3CDTF">2018-08-21T13:04:00Z</dcterms:modified>
</cp:coreProperties>
</file>